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BASES</w:t>
      </w:r>
    </w:p>
    <w:p>
      <w:pPr>
        <w:pStyle w:val="Body A"/>
        <w:jc w:val="center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Segundo co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 xml:space="preserve">ncurso escolar: </w:t>
      </w:r>
      <w:r>
        <w:rPr>
          <w:rFonts w:ascii="Helvetica" w:hAnsi="Helvetica"/>
          <w:i w:val="1"/>
          <w:iCs w:val="1"/>
          <w:sz w:val="32"/>
          <w:szCs w:val="32"/>
          <w:rtl w:val="0"/>
          <w:lang w:val="en-US"/>
        </w:rPr>
        <w:t>Chile secuencia a Chile</w:t>
      </w:r>
      <w:r>
        <w:rPr>
          <w:rFonts w:ascii="Candara" w:cs="Candara" w:hAnsi="Candara" w:eastAsia="Candara"/>
          <w:sz w:val="32"/>
          <w:szCs w:val="32"/>
          <w:rtl w:val="0"/>
          <w:lang w:val="en-US"/>
        </w:rPr>
        <w:t>.</w:t>
      </w:r>
    </w:p>
    <w:p>
      <w:pPr>
        <w:pStyle w:val="Body A"/>
        <w:jc w:val="center"/>
        <w:rPr>
          <w:rFonts w:ascii="Candara" w:cs="Candara" w:hAnsi="Candara" w:eastAsia="Candara"/>
          <w:sz w:val="32"/>
          <w:szCs w:val="32"/>
        </w:rPr>
      </w:pPr>
      <w:r>
        <w:rPr>
          <w:rFonts w:ascii="Candara" w:cs="Candara" w:hAnsi="Candara" w:eastAsia="Candara"/>
          <w:sz w:val="32"/>
          <w:szCs w:val="32"/>
          <w:rtl w:val="0"/>
          <w:lang w:val="en-US"/>
        </w:rPr>
        <w:t>Mayo, 2019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Objetivo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En el marco del proyecto 1000 Genomas, los centros de excelencia que patrocinan la iniciativa llaman a postular al concurso escolar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Chile Secuencia a Chile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orientado a difundir la ciencia gen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mica y destacar la necesidad de conocer y preservar el patrimonio gen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tico de nuestro pa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s. La actividad consistir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en obtener la secuencia del genoma de un organismo que habita entre nosotros cotidianamente, se realizar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en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liceos o colegios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Chile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durante el segundo semestre de 2019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.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 resultado de la secuenciaci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gen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mica hecha por los estudiantes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comunica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do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a todos los participantes y al pa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s.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Adem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, al ser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un resultado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original, formar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parte de una publicaci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cient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fica en que todos los participantes ser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co-autores del trabajo.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A. Bases del concurso</w:t>
      </w:r>
    </w:p>
    <w:p>
      <w:pPr>
        <w:pStyle w:val="Body A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 presente concurso esta abierto a ni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os y ni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as de liceos y colegios de todo Chile, que cursen entre 1ero y 4to 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 de ense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anza media.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Quedan excluidos de postular, los establecimientos que previamente participaron de la iniciativa.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aceptar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una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por establecimiento; en caso de llegar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de una, se tomar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en cuenta 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lo la que llegue primero a nuestro poder.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La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se hace en un grupo de entre 3 y 10 alumn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acompa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ados de un/a profesor/a.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La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debe estar autorizada por el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/la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Director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del establecimiento mediante una carta firmada y escaneada que acompa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 la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Los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/las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postulantes deben completar el formulario de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y enviarlo, junto con el material acompa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ante que se solicita, a los organizadores del concurso antes de la fecha indicada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abajo.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En lo posible, el grupo postulante debe tener alguna vinculaci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o contacto con un centro de investigaci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o universidad en su regi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o ciudad (no es un requisito).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 establecimiento debe contar con un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lugar adecuado (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puede ser una sala de clases),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limpio, seguro, con acceso a internet y servicios b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sicos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,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para realizar la actividad.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Los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/las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apoderados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los ni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o j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venes participantes deben autorizar a sus hij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a participar de la actividad, a ser fotografiados por los organizadores del concurso y a que sus im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genes sean usadas en promoci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y difusi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del evento en medios de prensa, digitales y de redes sociales.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 formulario de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puede ser descargado desde la p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gina </w:t>
      </w:r>
      <w:r>
        <w:rPr>
          <w:rStyle w:val="Hyperlink.0"/>
          <w:rFonts w:ascii="Candara" w:cs="Candara" w:hAnsi="Candara" w:eastAsia="Candara"/>
          <w:sz w:val="24"/>
          <w:szCs w:val="24"/>
        </w:rPr>
        <w:fldChar w:fldCharType="begin" w:fldLock="0"/>
      </w:r>
      <w:r>
        <w:rPr>
          <w:rStyle w:val="Hyperlink.0"/>
          <w:rFonts w:ascii="Candara" w:cs="Candara" w:hAnsi="Candara" w:eastAsia="Candara"/>
          <w:sz w:val="24"/>
          <w:szCs w:val="24"/>
        </w:rPr>
        <w:instrText xml:space="preserve"> HYPERLINK "http://www.1000genomas.cl"</w:instrText>
      </w:r>
      <w:r>
        <w:rPr>
          <w:rStyle w:val="Hyperlink.0"/>
          <w:rFonts w:ascii="Candara" w:cs="Candara" w:hAnsi="Candara" w:eastAsia="Candara"/>
          <w:sz w:val="24"/>
          <w:szCs w:val="24"/>
        </w:rPr>
        <w:fldChar w:fldCharType="separate" w:fldLock="0"/>
      </w:r>
      <w:r>
        <w:rPr>
          <w:rStyle w:val="Hyperlink.0"/>
          <w:rFonts w:ascii="Candara" w:cs="Candara" w:hAnsi="Candara" w:eastAsia="Candara"/>
          <w:sz w:val="24"/>
          <w:szCs w:val="24"/>
          <w:rtl w:val="0"/>
          <w:lang w:val="en-US"/>
        </w:rPr>
        <w:t>www.1000genomas.cl</w:t>
      </w:r>
      <w:r>
        <w:rPr>
          <w:rFonts w:ascii="Candara" w:cs="Candara" w:hAnsi="Candara" w:eastAsia="Candara"/>
          <w:sz w:val="24"/>
          <w:szCs w:val="24"/>
        </w:rPr>
        <w:fldChar w:fldCharType="end" w:fldLock="0"/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/concurso2019.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 env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 de la postulaci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debe hacerse dentr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del plazo establecido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abajo por correo electr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nico a: </w:t>
      </w:r>
      <w:r>
        <w:rPr>
          <w:rStyle w:val="Hyperlink.0"/>
          <w:rFonts w:ascii="Candara" w:cs="Candara" w:hAnsi="Candara" w:eastAsia="Candara"/>
          <w:sz w:val="24"/>
          <w:szCs w:val="24"/>
        </w:rPr>
        <w:fldChar w:fldCharType="begin" w:fldLock="0"/>
      </w:r>
      <w:r>
        <w:rPr>
          <w:rStyle w:val="Hyperlink.0"/>
          <w:rFonts w:ascii="Candara" w:cs="Candara" w:hAnsi="Candara" w:eastAsia="Candara"/>
          <w:sz w:val="24"/>
          <w:szCs w:val="24"/>
        </w:rPr>
        <w:instrText xml:space="preserve"> HYPERLINK "mailto:concurso2019@1000genomas.cl"</w:instrText>
      </w:r>
      <w:r>
        <w:rPr>
          <w:rStyle w:val="Hyperlink.0"/>
          <w:rFonts w:ascii="Candara" w:cs="Candara" w:hAnsi="Candara" w:eastAsia="Candara"/>
          <w:sz w:val="24"/>
          <w:szCs w:val="24"/>
        </w:rPr>
        <w:fldChar w:fldCharType="separate" w:fldLock="0"/>
      </w:r>
      <w:r>
        <w:rPr>
          <w:rStyle w:val="Hyperlink.0"/>
          <w:rFonts w:ascii="Candara" w:cs="Candara" w:hAnsi="Candara" w:eastAsia="Candara"/>
          <w:sz w:val="24"/>
          <w:szCs w:val="24"/>
          <w:rtl w:val="0"/>
          <w:lang w:val="en-US"/>
        </w:rPr>
        <w:t>concurso2019@1000genomas.cl</w:t>
      </w:r>
      <w:r>
        <w:rPr>
          <w:rFonts w:ascii="Candara" w:cs="Candara" w:hAnsi="Candara" w:eastAsia="Candara"/>
          <w:sz w:val="24"/>
          <w:szCs w:val="24"/>
        </w:rPr>
        <w:fldChar w:fldCharType="end" w:fldLock="0"/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seleccionar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ximo de diez propuestas para la ejecuci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la actividad. Este resultado ser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anunciado a trav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de la p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gina web del concurso y por correo electr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nico a todos los postulantes.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constituir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jurado (definido en secci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B.1.) que evaluar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las propuestas, generar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ranking de puntaje (ver criterios en secci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B.2. y B.3.) y seleccionar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ximo de 10 de ellas para realizar la actividad de secuenciaci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n. La decisi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del jurado es irrevocable, incluso aunque no se designen 10 propuestas ganadoras. En caso que una de las propuestas no pueda ejecutarse despu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de tomada la decisi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n, el jurado se reserva el derecho de seleccionar propuestas adicionales de acuerdo al ranking hasta completar el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ximo de 10.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Cada establecimiento seleccionado, representado por el Director, debe permitir la visita de un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equipo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orientador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constituido por cient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ficos de la iniciativa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y la dedicaci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n de tiempo del grupo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de alumnos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participante para preparar la actividad. Se estima un tiempo de preparaci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2 horas semanales como 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ximo en ese periodo.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El evento de secuenciaci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n, a realizarse durante el segundo semestre de 2019 (fecha exacta ser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determinada en com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ú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acuerdo con los seleccionados), transcurre durante dos d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as, tiempo en el cu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 se espera que los alumnos puedan dedicar el 100% de su tiempo.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B. Proceso de selecci</w:t>
      </w:r>
      <w:r>
        <w:rPr>
          <w:rStyle w:val="None"/>
          <w:rFonts w:ascii="Helvetica" w:hAnsi="Helvetic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n de las postulaciones ganadoras.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constituir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jurado de 5 personas, integrado por un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cient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fico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/a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designado por cada uno de los 5 centros de excelencia patrocinantes de la iniciativa.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La evaluaci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las propuestas se realizar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calificando a cada una de ellas con notas de 1 a 7 y siguiendo la siguiente ponderaci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n: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Carta o declaraci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inter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s y motivaci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los escolares: 60%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. Esta declaraci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debe presentarse en una p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gina impresa (fuente tama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ñ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 12) por un s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lo lado (el formulario contiene un formato tipo) y debe ser escrita colectivamente por el grupo de alumnos que postulan.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Breve ensayo colectivo sobre la importancia de conocer los genomas de personas y organismos chilenos: 30%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. El ensayo puede tener una extensi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 dos planas con el mismo criterio anterior y tambi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lo escribe el grupo de estudiantes.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Antecedentes del equipo postulante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(incluyendo a el/la profesor/a) en cuanto a actividades previas en el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mbito cient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fico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: 10%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. Se describe lo solicitado en una p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gina; puede ser escrita por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el/la profesor/a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numPr>
          <w:ilvl w:val="0"/>
          <w:numId w:val="6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Otros elementos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que ser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considerados en la evaluaci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: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procurar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tener una adecuada representaci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regional.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privilegiar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un apropiado balance de g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nero en los grupos postulantes.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Se privilegiar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los liceos y colegios p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ú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blicos (municipales y/o gratuitos)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Style w:val="None"/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Style w:val="None"/>
          <w:rFonts w:ascii="Helvetica" w:hAnsi="Helvetica"/>
          <w:b w:val="1"/>
          <w:bCs w:val="1"/>
          <w:sz w:val="24"/>
          <w:szCs w:val="24"/>
          <w:rtl w:val="0"/>
          <w:lang w:val="en-US"/>
        </w:rPr>
        <w:t>Fechas importantes.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Apertura del concurso: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junio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, 201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9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Cierre del concurso: 1 de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juli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o, 201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9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(23:59 hrs)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Anuncio de propuestas ganadoras: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12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juli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o, 201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9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Coordinaci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y preparaci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n del evento: 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8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ju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l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io al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15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de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agost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o, 201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9</w:t>
      </w: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rFonts w:ascii="Candara" w:cs="Candara" w:hAnsi="Candara" w:eastAsia="Candara"/>
          <w:sz w:val="24"/>
          <w:szCs w:val="24"/>
          <w:rtl w:val="0"/>
          <w:lang w:val="en-US"/>
        </w:rPr>
      </w:pPr>
      <w:r>
        <w:rPr>
          <w:rFonts w:ascii="Candara" w:cs="Candara" w:hAnsi="Candara" w:eastAsia="Candara"/>
          <w:sz w:val="24"/>
          <w:szCs w:val="24"/>
          <w:rtl w:val="0"/>
          <w:lang w:val="en-US"/>
        </w:rPr>
        <w:t>Evento de secuenciaci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n: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entre el 15 de 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agosto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y el 15 de noviembre de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201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>9</w:t>
      </w:r>
      <w:r>
        <w:rPr>
          <w:rFonts w:ascii="Candara" w:cs="Candara" w:hAnsi="Candara" w:eastAsia="Candara"/>
          <w:sz w:val="24"/>
          <w:szCs w:val="24"/>
          <w:rtl w:val="0"/>
          <w:lang w:val="en-US"/>
        </w:rPr>
        <w:t xml:space="preserve"> (fecha exacta a definir con los equipos seleccionados).</w:t>
      </w:r>
    </w:p>
    <w:p>
      <w:pPr>
        <w:pStyle w:val="Body A"/>
        <w:rPr>
          <w:rFonts w:ascii="Candara" w:cs="Candara" w:hAnsi="Candara" w:eastAsia="Candara"/>
          <w:sz w:val="24"/>
          <w:szCs w:val="24"/>
        </w:rPr>
      </w:pPr>
    </w:p>
    <w:p>
      <w:pPr>
        <w:pStyle w:val="Body A"/>
      </w:pP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Luego de seleccionados los equipos ganadores del concurso, los organizadores del concurso se pondr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 en contacto con ellos para coordinar las visitas, orientar a los equipos y entregar los materiales. Los organizadores sugieren seleccionar para secuenciaci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n un 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insecto del orden Dermaptera, conocido vulgarmente como 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“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tijereta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”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,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 pero no se restringir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á 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la opci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n del grupo seleccionado de usar otro organismo, si se justifica adecuadamente 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(en acuerdo con los organizadores) 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y calza con la normativa vigente (no puede ser un vertebrado, un organismo protegido o representar un peligro biol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gico).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 xml:space="preserve"> Por reglamentaci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 del Ministerio de Educaci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n, no es posible realizar experimentaci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 con animales en los establecimientos educacionales del pa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s, por lo que las manipulaciones ser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á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 realizadas por personas especializadas que cuenten con la autorizaci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ó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n respectiva de los comit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s de bio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é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tica de las instituciones organizadoras y de la agencia responsble de velar por la toma de muestras de especies silvestres (Servicio Agr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í</w:t>
      </w:r>
      <w:r>
        <w:rPr>
          <w:rStyle w:val="None"/>
          <w:rFonts w:ascii="Candara" w:cs="Candara" w:hAnsi="Candara" w:eastAsia="Candara"/>
          <w:sz w:val="24"/>
          <w:szCs w:val="24"/>
          <w:rtl w:val="0"/>
          <w:lang w:val="en-US"/>
        </w:rPr>
        <w:t>ciola y Ganadero).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 Big"/>
  </w:abstractNum>
  <w:abstractNum w:abstractNumId="3">
    <w:multiLevelType w:val="hybridMultilevel"/>
    <w:styleLink w:val="Bullet Big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0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4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8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2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6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70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4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82" w:hanging="26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numbering" w:styleId="Bullet Big">
    <w:name w:val="Bullet Big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